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pPr>
      <w:r>
        <w:t xml:space="preserve">AirflowSizingGuide.sh — Model Constants Explained</w:t>
      </w:r>
    </w:p>
    <w:p>
      <w:pPr>
        <w:spacing w:after="160"/>
      </w:pPr>
      <w:r>
        <w:rPr>
          <w:i/>
          <w:iCs/>
          <w:color w:val="555555"/>
        </w:rPr>
        <w:t xml:space="preserve">Reference for the tunable assumptions at the top of the sizing script, why each exists, and how to recalibrate it once real measurements are available.</w:t>
      </w:r>
    </w:p>
    <w:p>
      <w:pPr>
        <w:pBdr>
          <w:bottom w:val="single" w:color="AAAAAA" w:sz="6" w:space="4"/>
        </w:pBdr>
        <w:spacing w:after="200"/>
      </w:pPr>
    </w:p>
    <w:p>
      <w:pPr>
        <w:pStyle w:val="Heading1"/>
        <w:spacing w:after="160" w:before="320"/>
      </w:pPr>
      <w:r>
        <w:t xml:space="preserve">1. Why these constants exist</w:t>
      </w:r>
    </w:p>
    <w:p>
      <w:pPr>
        <w:spacing w:after="160"/>
      </w:pPr>
      <w:r>
        <w:t xml:space="preserve">The script turns two inputs — ConcurrentUsers (N) and a fixed NoOfWorkers — into a full proposed airflow.cfg plus a resource table (cores/RAM per component, Postgres max_connections, etc.). That translation isn't derived from first principles alone; it rests on a handful of planning heuristics about how this specific workload behaves (dashboard-generated, one-time, BashOperator-only DAGs). Those heuristics are pulled out as named constants at the top of the script, rather than buried inline in formulas, for one reason: they are the parts of the model most likely to be wrong on day one and most valuable to correct once real load-test data exists. Every other formula in the script is deterministic arithmetic built on top of these.</w:t>
      </w:r>
    </w:p>
    <w:p>
      <w:pPr>
        <w:pStyle w:val="Heading1"/>
        <w:spacing w:after="160" w:before="320"/>
      </w:pPr>
      <w:r>
        <w:t xml:space="preserve">2. The constants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500"/>
        <w:gridCol w:w="1000"/>
        <w:gridCol w:w="3050"/>
        <w:gridCol w:w="3800"/>
      </w:tblGrid>
      <w:tr>
        <w:trPr>
          <w:tblHeader/>
        </w:trPr>
        <w:tc>
          <w:tcPr>
            <w:tcW w:type="dxa" w:w="1500"/>
            <w:shd w:fill="D9D9D9" w:val="clear"/>
            <w:tcMar>
              <w:top w:type="dxa" w:w="80"/>
              <w:left w:type="dxa" w:w="120"/>
              <w:bottom w:type="dxa" w:w="80"/>
              <w:right w:type="dxa" w:w="120"/>
            </w:tcMar>
            <w:vAlign w:val="center"/>
          </w:tcPr>
          <w:p>
            <w:pPr>
              <w:jc w:val="left"/>
            </w:pPr>
            <w:r>
              <w:rPr>
                <w:b/>
                <w:bCs/>
                <w:sz w:val="20"/>
                <w:szCs w:val="20"/>
              </w:rPr>
              <w:t xml:space="preserve">Constant</w:t>
            </w:r>
          </w:p>
        </w:tc>
        <w:tc>
          <w:tcPr>
            <w:tcW w:type="dxa" w:w="1000"/>
            <w:shd w:fill="D9D9D9" w:val="clear"/>
            <w:tcMar>
              <w:top w:type="dxa" w:w="80"/>
              <w:left w:type="dxa" w:w="120"/>
              <w:bottom w:type="dxa" w:w="80"/>
              <w:right w:type="dxa" w:w="120"/>
            </w:tcMar>
            <w:vAlign w:val="center"/>
          </w:tcPr>
          <w:p>
            <w:pPr>
              <w:jc w:val="center"/>
            </w:pPr>
            <w:r>
              <w:rPr>
                <w:b/>
                <w:bCs/>
                <w:sz w:val="20"/>
                <w:szCs w:val="20"/>
              </w:rPr>
              <w:t xml:space="preserve">Default</w:t>
            </w:r>
          </w:p>
        </w:tc>
        <w:tc>
          <w:tcPr>
            <w:tcW w:type="dxa" w:w="3050"/>
            <w:shd w:fill="D9D9D9" w:val="clear"/>
            <w:tcMar>
              <w:top w:type="dxa" w:w="80"/>
              <w:left w:type="dxa" w:w="120"/>
              <w:bottom w:type="dxa" w:w="80"/>
              <w:right w:type="dxa" w:w="120"/>
            </w:tcMar>
            <w:vAlign w:val="center"/>
          </w:tcPr>
          <w:p>
            <w:pPr>
              <w:jc w:val="left"/>
            </w:pPr>
            <w:r>
              <w:rPr>
                <w:b/>
                <w:bCs/>
                <w:sz w:val="20"/>
                <w:szCs w:val="20"/>
              </w:rPr>
              <w:t xml:space="preserve">What it represents</w:t>
            </w:r>
          </w:p>
        </w:tc>
        <w:tc>
          <w:tcPr>
            <w:tcW w:type="dxa" w:w="3800"/>
            <w:shd w:fill="D9D9D9" w:val="clear"/>
            <w:tcMar>
              <w:top w:type="dxa" w:w="80"/>
              <w:left w:type="dxa" w:w="120"/>
              <w:bottom w:type="dxa" w:w="80"/>
              <w:right w:type="dxa" w:w="120"/>
            </w:tcMar>
            <w:vAlign w:val="center"/>
          </w:tcPr>
          <w:p>
            <w:pPr>
              <w:jc w:val="left"/>
            </w:pPr>
            <w:r>
              <w:rPr>
                <w:b/>
                <w:bCs/>
                <w:sz w:val="20"/>
                <w:szCs w:val="20"/>
              </w:rPr>
              <w:t xml:space="preserve">Where it feeds into the math</w:t>
            </w:r>
          </w:p>
        </w:tc>
      </w:tr>
      <w:tr>
        <w:tc>
          <w:tcPr>
            <w:tcW w:type="dxa" w:w="1500"/>
            <w:tcMar>
              <w:top w:type="dxa" w:w="80"/>
              <w:left w:type="dxa" w:w="120"/>
              <w:bottom w:type="dxa" w:w="80"/>
              <w:right w:type="dxa" w:w="120"/>
            </w:tcMar>
            <w:vAlign w:val="center"/>
          </w:tcPr>
          <w:p>
            <w:pPr>
              <w:jc w:val="left"/>
            </w:pPr>
            <w:r>
              <w:rPr>
                <w:b w:val="false"/>
                <w:bCs w:val="false"/>
                <w:sz w:val="20"/>
                <w:szCs w:val="20"/>
              </w:rPr>
              <w:t xml:space="preserve">F</w:t>
            </w:r>
          </w:p>
        </w:tc>
        <w:tc>
          <w:tcPr>
            <w:tcW w:type="dxa" w:w="1000"/>
            <w:tcMar>
              <w:top w:type="dxa" w:w="80"/>
              <w:left w:type="dxa" w:w="120"/>
              <w:bottom w:type="dxa" w:w="80"/>
              <w:right w:type="dxa" w:w="120"/>
            </w:tcMar>
            <w:vAlign w:val="center"/>
          </w:tcPr>
          <w:p>
            <w:pPr>
              <w:jc w:val="center"/>
            </w:pPr>
            <w:r>
              <w:rPr>
                <w:b w:val="false"/>
                <w:bCs w:val="false"/>
                <w:sz w:val="20"/>
                <w:szCs w:val="20"/>
              </w:rPr>
              <w:t xml:space="preserve">2</w:t>
            </w:r>
          </w:p>
        </w:tc>
        <w:tc>
          <w:tcPr>
            <w:tcW w:type="dxa" w:w="3050"/>
            <w:tcMar>
              <w:top w:type="dxa" w:w="80"/>
              <w:left w:type="dxa" w:w="120"/>
              <w:bottom w:type="dxa" w:w="80"/>
              <w:right w:type="dxa" w:w="120"/>
            </w:tcMar>
            <w:vAlign w:val="center"/>
          </w:tcPr>
          <w:p>
            <w:pPr>
              <w:jc w:val="left"/>
            </w:pPr>
            <w:r>
              <w:rPr>
                <w:b w:val="false"/>
                <w:bCs w:val="false"/>
                <w:sz w:val="20"/>
                <w:szCs w:val="20"/>
              </w:rPr>
              <w:t xml:space="preserve">Average number of tasks running at the same instant within one DAG (fan-out). 1 = a strictly linear chain; higher = wider parallel branches.</w:t>
            </w:r>
          </w:p>
        </w:tc>
        <w:tc>
          <w:tcPr>
            <w:tcW w:type="dxa" w:w="3800"/>
            <w:tcMar>
              <w:top w:type="dxa" w:w="80"/>
              <w:left w:type="dxa" w:w="120"/>
              <w:bottom w:type="dxa" w:w="80"/>
              <w:right w:type="dxa" w:w="120"/>
            </w:tcMar>
            <w:vAlign w:val="center"/>
          </w:tcPr>
          <w:p>
            <w:pPr>
              <w:jc w:val="left"/>
            </w:pPr>
            <w:r>
              <w:rPr>
                <w:b w:val="false"/>
                <w:bCs w:val="false"/>
                <w:sz w:val="20"/>
                <w:szCs w:val="20"/>
              </w:rPr>
              <w:t xml:space="preserve">T = N × F (peak concurrent active tasks). T drives worker sizing, scheduler burst limits, and max_tis_per_query.</w:t>
            </w:r>
          </w:p>
        </w:tc>
      </w:tr>
      <w:tr>
        <w:tc>
          <w:tcPr>
            <w:tcW w:type="dxa" w:w="1500"/>
            <w:shd w:fill="F7F7F7" w:val="clear"/>
            <w:tcMar>
              <w:top w:type="dxa" w:w="80"/>
              <w:left w:type="dxa" w:w="120"/>
              <w:bottom w:type="dxa" w:w="80"/>
              <w:right w:type="dxa" w:w="120"/>
            </w:tcMar>
            <w:vAlign w:val="center"/>
          </w:tcPr>
          <w:p>
            <w:pPr>
              <w:jc w:val="left"/>
            </w:pPr>
            <w:r>
              <w:rPr>
                <w:b w:val="false"/>
                <w:bCs w:val="false"/>
                <w:sz w:val="20"/>
                <w:szCs w:val="20"/>
              </w:rPr>
              <w:t xml:space="preserve">CORE_RAM_MB</w:t>
            </w:r>
          </w:p>
        </w:tc>
        <w:tc>
          <w:tcPr>
            <w:tcW w:type="dxa" w:w="1000"/>
            <w:shd w:fill="F7F7F7" w:val="clear"/>
            <w:tcMar>
              <w:top w:type="dxa" w:w="80"/>
              <w:left w:type="dxa" w:w="120"/>
              <w:bottom w:type="dxa" w:w="80"/>
              <w:right w:type="dxa" w:w="120"/>
            </w:tcMar>
            <w:vAlign w:val="center"/>
          </w:tcPr>
          <w:p>
            <w:pPr>
              <w:jc w:val="center"/>
            </w:pPr>
            <w:r>
              <w:rPr>
                <w:b w:val="false"/>
                <w:bCs w:val="false"/>
                <w:sz w:val="20"/>
                <w:szCs w:val="20"/>
              </w:rPr>
              <w:t xml:space="preserve">1024</w:t>
            </w:r>
          </w:p>
        </w:tc>
        <w:tc>
          <w:tcPr>
            <w:tcW w:type="dxa" w:w="3050"/>
            <w:shd w:fill="F7F7F7" w:val="clear"/>
            <w:tcMar>
              <w:top w:type="dxa" w:w="80"/>
              <w:left w:type="dxa" w:w="120"/>
              <w:bottom w:type="dxa" w:w="80"/>
              <w:right w:type="dxa" w:w="120"/>
            </w:tcMar>
            <w:vAlign w:val="center"/>
          </w:tcPr>
          <w:p>
            <w:pPr>
              <w:jc w:val="left"/>
            </w:pPr>
            <w:r>
              <w:rPr>
                <w:b w:val="false"/>
                <w:bCs w:val="false"/>
                <w:sz w:val="20"/>
                <w:szCs w:val="20"/>
              </w:rPr>
              <w:t xml:space="preserve">Baseline memory-per-core ratio, taken from the already-working AirflowWorker mapping (2048MB : 2 cores).</w:t>
            </w:r>
          </w:p>
        </w:tc>
        <w:tc>
          <w:tcPr>
            <w:tcW w:type="dxa" w:w="3800"/>
            <w:shd w:fill="F7F7F7" w:val="clear"/>
            <w:tcMar>
              <w:top w:type="dxa" w:w="80"/>
              <w:left w:type="dxa" w:w="120"/>
              <w:bottom w:type="dxa" w:w="80"/>
              <w:right w:type="dxa" w:w="120"/>
            </w:tcMar>
            <w:vAlign w:val="center"/>
          </w:tcPr>
          <w:p>
            <w:pPr>
              <w:jc w:val="left"/>
            </w:pPr>
            <w:r>
              <w:rPr>
                <w:b w:val="false"/>
                <w:bCs w:val="false"/>
                <w:sz w:val="20"/>
                <w:szCs w:val="20"/>
              </w:rPr>
              <w:t xml:space="preserve">Every component's RAM = its computed core count × this ratio. Keeps memory proportional to CPU across all components consistently.</w:t>
            </w:r>
          </w:p>
        </w:tc>
      </w:tr>
      <w:tr>
        <w:tc>
          <w:tcPr>
            <w:tcW w:type="dxa" w:w="1500"/>
            <w:tcMar>
              <w:top w:type="dxa" w:w="80"/>
              <w:left w:type="dxa" w:w="120"/>
              <w:bottom w:type="dxa" w:w="80"/>
              <w:right w:type="dxa" w:w="120"/>
            </w:tcMar>
            <w:vAlign w:val="center"/>
          </w:tcPr>
          <w:p>
            <w:pPr>
              <w:jc w:val="left"/>
            </w:pPr>
            <w:r>
              <w:rPr>
                <w:b w:val="false"/>
                <w:bCs w:val="false"/>
                <w:sz w:val="20"/>
                <w:szCs w:val="20"/>
              </w:rPr>
              <w:t xml:space="preserve">FILES_PER_PARSER</w:t>
            </w:r>
          </w:p>
        </w:tc>
        <w:tc>
          <w:tcPr>
            <w:tcW w:type="dxa" w:w="1000"/>
            <w:tcMar>
              <w:top w:type="dxa" w:w="80"/>
              <w:left w:type="dxa" w:w="120"/>
              <w:bottom w:type="dxa" w:w="80"/>
              <w:right w:type="dxa" w:w="120"/>
            </w:tcMar>
            <w:vAlign w:val="center"/>
          </w:tcPr>
          <w:p>
            <w:pPr>
              <w:jc w:val="center"/>
            </w:pPr>
            <w:r>
              <w:rPr>
                <w:b w:val="false"/>
                <w:bCs w:val="false"/>
                <w:sz w:val="20"/>
                <w:szCs w:val="20"/>
              </w:rPr>
              <w:t xml:space="preserve">12</w:t>
            </w:r>
          </w:p>
        </w:tc>
        <w:tc>
          <w:tcPr>
            <w:tcW w:type="dxa" w:w="3050"/>
            <w:tcMar>
              <w:top w:type="dxa" w:w="80"/>
              <w:left w:type="dxa" w:w="120"/>
              <w:bottom w:type="dxa" w:w="80"/>
              <w:right w:type="dxa" w:w="120"/>
            </w:tcMar>
            <w:vAlign w:val="center"/>
          </w:tcPr>
          <w:p>
            <w:pPr>
              <w:jc w:val="left"/>
            </w:pPr>
            <w:r>
              <w:rPr>
                <w:b w:val="false"/>
                <w:bCs w:val="false"/>
                <w:sz w:val="20"/>
                <w:szCs w:val="20"/>
              </w:rPr>
              <w:t xml:space="preserve">How many newly-arrived DAG files one dag-processor parser process can comfortably clear within the target discovery window.</w:t>
            </w:r>
          </w:p>
        </w:tc>
        <w:tc>
          <w:tcPr>
            <w:tcW w:type="dxa" w:w="3800"/>
            <w:tcMar>
              <w:top w:type="dxa" w:w="80"/>
              <w:left w:type="dxa" w:w="120"/>
              <w:bottom w:type="dxa" w:w="80"/>
              <w:right w:type="dxa" w:w="120"/>
            </w:tcMar>
            <w:vAlign w:val="center"/>
          </w:tcPr>
          <w:p>
            <w:pPr>
              <w:jc w:val="left"/>
            </w:pPr>
            <w:r>
              <w:rPr>
                <w:b w:val="false"/>
                <w:bCs w:val="false"/>
                <w:sz w:val="20"/>
                <w:szCs w:val="20"/>
              </w:rPr>
              <w:t xml:space="preserve">parsing_processes = ceil(N ÷ FILES_PER_PARSER), minimum 2. Directly sets DAGProcessor cores/RAM.</w:t>
            </w:r>
          </w:p>
        </w:tc>
      </w:tr>
      <w:tr>
        <w:tc>
          <w:tcPr>
            <w:tcW w:type="dxa" w:w="1500"/>
            <w:shd w:fill="F7F7F7" w:val="clear"/>
            <w:tcMar>
              <w:top w:type="dxa" w:w="80"/>
              <w:left w:type="dxa" w:w="120"/>
              <w:bottom w:type="dxa" w:w="80"/>
              <w:right w:type="dxa" w:w="120"/>
            </w:tcMar>
            <w:vAlign w:val="center"/>
          </w:tcPr>
          <w:p>
            <w:pPr>
              <w:jc w:val="left"/>
            </w:pPr>
            <w:r>
              <w:rPr>
                <w:b w:val="false"/>
                <w:bCs w:val="false"/>
                <w:sz w:val="20"/>
                <w:szCs w:val="20"/>
              </w:rPr>
              <w:t xml:space="preserve">API_POOL_PER_WORKER</w:t>
            </w:r>
          </w:p>
        </w:tc>
        <w:tc>
          <w:tcPr>
            <w:tcW w:type="dxa" w:w="1000"/>
            <w:shd w:fill="F7F7F7" w:val="clear"/>
            <w:tcMar>
              <w:top w:type="dxa" w:w="80"/>
              <w:left w:type="dxa" w:w="120"/>
              <w:bottom w:type="dxa" w:w="80"/>
              <w:right w:type="dxa" w:w="120"/>
            </w:tcMar>
            <w:vAlign w:val="center"/>
          </w:tcPr>
          <w:p>
            <w:pPr>
              <w:jc w:val="center"/>
            </w:pPr>
            <w:r>
              <w:rPr>
                <w:b w:val="false"/>
                <w:bCs w:val="false"/>
                <w:sz w:val="20"/>
                <w:szCs w:val="20"/>
              </w:rPr>
              <w:t xml:space="preserve">5</w:t>
            </w:r>
          </w:p>
        </w:tc>
        <w:tc>
          <w:tcPr>
            <w:tcW w:type="dxa" w:w="3050"/>
            <w:shd w:fill="F7F7F7" w:val="clear"/>
            <w:tcMar>
              <w:top w:type="dxa" w:w="80"/>
              <w:left w:type="dxa" w:w="120"/>
              <w:bottom w:type="dxa" w:w="80"/>
              <w:right w:type="dxa" w:w="120"/>
            </w:tcMar>
            <w:vAlign w:val="center"/>
          </w:tcPr>
          <w:p>
            <w:pPr>
              <w:jc w:val="left"/>
            </w:pPr>
            <w:r>
              <w:rPr>
                <w:b w:val="false"/>
                <w:bCs w:val="false"/>
                <w:sz w:val="20"/>
                <w:szCs w:val="20"/>
              </w:rPr>
              <w:t xml:space="preserve">Postgres connections reserved per api-server worker process (pool_size=3 + max_overflow=2, written into the generated .cfg).</w:t>
            </w:r>
          </w:p>
        </w:tc>
        <w:tc>
          <w:tcPr>
            <w:tcW w:type="dxa" w:w="3800"/>
            <w:shd w:fill="F7F7F7" w:val="clear"/>
            <w:tcMar>
              <w:top w:type="dxa" w:w="80"/>
              <w:left w:type="dxa" w:w="120"/>
              <w:bottom w:type="dxa" w:w="80"/>
              <w:right w:type="dxa" w:w="120"/>
            </w:tcMar>
            <w:vAlign w:val="center"/>
          </w:tcPr>
          <w:p>
            <w:pPr>
              <w:jc w:val="left"/>
            </w:pPr>
            <w:r>
              <w:rPr>
                <w:b w:val="false"/>
                <w:bCs w:val="false"/>
                <w:sz w:val="20"/>
                <w:szCs w:val="20"/>
              </w:rPr>
              <w:t xml:space="preserve">Contributes api_workers × 5 to the total connection budget.</w:t>
            </w:r>
          </w:p>
        </w:tc>
      </w:tr>
      <w:tr>
        <w:tc>
          <w:tcPr>
            <w:tcW w:type="dxa" w:w="1500"/>
            <w:tcMar>
              <w:top w:type="dxa" w:w="80"/>
              <w:left w:type="dxa" w:w="120"/>
              <w:bottom w:type="dxa" w:w="80"/>
              <w:right w:type="dxa" w:w="120"/>
            </w:tcMar>
            <w:vAlign w:val="center"/>
          </w:tcPr>
          <w:p>
            <w:pPr>
              <w:jc w:val="left"/>
            </w:pPr>
            <w:r>
              <w:rPr>
                <w:b w:val="false"/>
                <w:bCs w:val="false"/>
                <w:sz w:val="20"/>
                <w:szCs w:val="20"/>
              </w:rPr>
              <w:t xml:space="preserve">WORKER_POOL_PER_REPLICA</w:t>
            </w:r>
          </w:p>
        </w:tc>
        <w:tc>
          <w:tcPr>
            <w:tcW w:type="dxa" w:w="1000"/>
            <w:tcMar>
              <w:top w:type="dxa" w:w="80"/>
              <w:left w:type="dxa" w:w="120"/>
              <w:bottom w:type="dxa" w:w="80"/>
              <w:right w:type="dxa" w:w="120"/>
            </w:tcMar>
            <w:vAlign w:val="center"/>
          </w:tcPr>
          <w:p>
            <w:pPr>
              <w:jc w:val="center"/>
            </w:pPr>
            <w:r>
              <w:rPr>
                <w:b w:val="false"/>
                <w:bCs w:val="false"/>
                <w:sz w:val="20"/>
                <w:szCs w:val="20"/>
              </w:rPr>
              <w:t xml:space="preserve">5</w:t>
            </w:r>
          </w:p>
        </w:tc>
        <w:tc>
          <w:tcPr>
            <w:tcW w:type="dxa" w:w="3050"/>
            <w:tcMar>
              <w:top w:type="dxa" w:w="80"/>
              <w:left w:type="dxa" w:w="120"/>
              <w:bottom w:type="dxa" w:w="80"/>
              <w:right w:type="dxa" w:w="120"/>
            </w:tcMar>
            <w:vAlign w:val="center"/>
          </w:tcPr>
          <w:p>
            <w:pPr>
              <w:jc w:val="left"/>
            </w:pPr>
            <w:r>
              <w:rPr>
                <w:b w:val="false"/>
                <w:bCs w:val="false"/>
                <w:sz w:val="20"/>
                <w:szCs w:val="20"/>
              </w:rPr>
              <w:t xml:space="preserve">Postgres connections reserved per celery worker replica (same 3+2 split, written into the generated .cfg).</w:t>
            </w:r>
          </w:p>
        </w:tc>
        <w:tc>
          <w:tcPr>
            <w:tcW w:type="dxa" w:w="3800"/>
            <w:tcMar>
              <w:top w:type="dxa" w:w="80"/>
              <w:left w:type="dxa" w:w="120"/>
              <w:bottom w:type="dxa" w:w="80"/>
              <w:right w:type="dxa" w:w="120"/>
            </w:tcMar>
            <w:vAlign w:val="center"/>
          </w:tcPr>
          <w:p>
            <w:pPr>
              <w:jc w:val="left"/>
            </w:pPr>
            <w:r>
              <w:rPr>
                <w:b w:val="false"/>
                <w:bCs w:val="false"/>
                <w:sz w:val="20"/>
                <w:szCs w:val="20"/>
              </w:rPr>
              <w:t xml:space="preserve">Contributes NoOfWorkers × 5 to the total connection budget.</w:t>
            </w:r>
          </w:p>
        </w:tc>
      </w:tr>
      <w:tr>
        <w:tc>
          <w:tcPr>
            <w:tcW w:type="dxa" w:w="1500"/>
            <w:shd w:fill="F7F7F7" w:val="clear"/>
            <w:tcMar>
              <w:top w:type="dxa" w:w="80"/>
              <w:left w:type="dxa" w:w="120"/>
              <w:bottom w:type="dxa" w:w="80"/>
              <w:right w:type="dxa" w:w="120"/>
            </w:tcMar>
            <w:vAlign w:val="center"/>
          </w:tcPr>
          <w:p>
            <w:pPr>
              <w:jc w:val="left"/>
            </w:pPr>
            <w:r>
              <w:rPr>
                <w:b w:val="false"/>
                <w:bCs w:val="false"/>
                <w:sz w:val="20"/>
                <w:szCs w:val="20"/>
              </w:rPr>
              <w:t xml:space="preserve">SCHEDULER_POOL</w:t>
            </w:r>
          </w:p>
        </w:tc>
        <w:tc>
          <w:tcPr>
            <w:tcW w:type="dxa" w:w="1000"/>
            <w:shd w:fill="F7F7F7" w:val="clear"/>
            <w:tcMar>
              <w:top w:type="dxa" w:w="80"/>
              <w:left w:type="dxa" w:w="120"/>
              <w:bottom w:type="dxa" w:w="80"/>
              <w:right w:type="dxa" w:w="120"/>
            </w:tcMar>
            <w:vAlign w:val="center"/>
          </w:tcPr>
          <w:p>
            <w:pPr>
              <w:jc w:val="center"/>
            </w:pPr>
            <w:r>
              <w:rPr>
                <w:b w:val="false"/>
                <w:bCs w:val="false"/>
                <w:sz w:val="20"/>
                <w:szCs w:val="20"/>
              </w:rPr>
              <w:t xml:space="preserve">10</w:t>
            </w:r>
          </w:p>
        </w:tc>
        <w:tc>
          <w:tcPr>
            <w:tcW w:type="dxa" w:w="3050"/>
            <w:shd w:fill="F7F7F7" w:val="clear"/>
            <w:tcMar>
              <w:top w:type="dxa" w:w="80"/>
              <w:left w:type="dxa" w:w="120"/>
              <w:bottom w:type="dxa" w:w="80"/>
              <w:right w:type="dxa" w:w="120"/>
            </w:tcMar>
            <w:vAlign w:val="center"/>
          </w:tcPr>
          <w:p>
            <w:pPr>
              <w:jc w:val="left"/>
            </w:pPr>
            <w:r>
              <w:rPr>
                <w:b w:val="false"/>
                <w:bCs w:val="false"/>
                <w:sz w:val="20"/>
                <w:szCs w:val="20"/>
              </w:rPr>
              <w:t xml:space="preserve">Postgres connections reserved for the scheduler. Single instance, so not multiplied by a replica count.</w:t>
            </w:r>
          </w:p>
        </w:tc>
        <w:tc>
          <w:tcPr>
            <w:tcW w:type="dxa" w:w="3800"/>
            <w:shd w:fill="F7F7F7" w:val="clear"/>
            <w:tcMar>
              <w:top w:type="dxa" w:w="80"/>
              <w:left w:type="dxa" w:w="120"/>
              <w:bottom w:type="dxa" w:w="80"/>
              <w:right w:type="dxa" w:w="120"/>
            </w:tcMar>
            <w:vAlign w:val="center"/>
          </w:tcPr>
          <w:p>
            <w:pPr>
              <w:jc w:val="left"/>
            </w:pPr>
            <w:r>
              <w:rPr>
                <w:b w:val="false"/>
                <w:bCs w:val="false"/>
                <w:sz w:val="20"/>
                <w:szCs w:val="20"/>
              </w:rPr>
              <w:t xml:space="preserve">Added once to the total connection budget.</w:t>
            </w:r>
          </w:p>
        </w:tc>
      </w:tr>
      <w:tr>
        <w:tc>
          <w:tcPr>
            <w:tcW w:type="dxa" w:w="1500"/>
            <w:tcMar>
              <w:top w:type="dxa" w:w="80"/>
              <w:left w:type="dxa" w:w="120"/>
              <w:bottom w:type="dxa" w:w="80"/>
              <w:right w:type="dxa" w:w="120"/>
            </w:tcMar>
            <w:vAlign w:val="center"/>
          </w:tcPr>
          <w:p>
            <w:pPr>
              <w:jc w:val="left"/>
            </w:pPr>
            <w:r>
              <w:rPr>
                <w:b w:val="false"/>
                <w:bCs w:val="false"/>
                <w:sz w:val="20"/>
                <w:szCs w:val="20"/>
              </w:rPr>
              <w:t xml:space="preserve">DAGPROCESSOR_POOL</w:t>
            </w:r>
          </w:p>
        </w:tc>
        <w:tc>
          <w:tcPr>
            <w:tcW w:type="dxa" w:w="1000"/>
            <w:tcMar>
              <w:top w:type="dxa" w:w="80"/>
              <w:left w:type="dxa" w:w="120"/>
              <w:bottom w:type="dxa" w:w="80"/>
              <w:right w:type="dxa" w:w="120"/>
            </w:tcMar>
            <w:vAlign w:val="center"/>
          </w:tcPr>
          <w:p>
            <w:pPr>
              <w:jc w:val="center"/>
            </w:pPr>
            <w:r>
              <w:rPr>
                <w:b w:val="false"/>
                <w:bCs w:val="false"/>
                <w:sz w:val="20"/>
                <w:szCs w:val="20"/>
              </w:rPr>
              <w:t xml:space="preserve">10</w:t>
            </w:r>
          </w:p>
        </w:tc>
        <w:tc>
          <w:tcPr>
            <w:tcW w:type="dxa" w:w="3050"/>
            <w:tcMar>
              <w:top w:type="dxa" w:w="80"/>
              <w:left w:type="dxa" w:w="120"/>
              <w:bottom w:type="dxa" w:w="80"/>
              <w:right w:type="dxa" w:w="120"/>
            </w:tcMar>
            <w:vAlign w:val="center"/>
          </w:tcPr>
          <w:p>
            <w:pPr>
              <w:jc w:val="left"/>
            </w:pPr>
            <w:r>
              <w:rPr>
                <w:b w:val="false"/>
                <w:bCs w:val="false"/>
                <w:sz w:val="20"/>
                <w:szCs w:val="20"/>
              </w:rPr>
              <w:t xml:space="preserve">Postgres connections reserved for the dag-processor. Single instance.</w:t>
            </w:r>
          </w:p>
        </w:tc>
        <w:tc>
          <w:tcPr>
            <w:tcW w:type="dxa" w:w="3800"/>
            <w:tcMar>
              <w:top w:type="dxa" w:w="80"/>
              <w:left w:type="dxa" w:w="120"/>
              <w:bottom w:type="dxa" w:w="80"/>
              <w:right w:type="dxa" w:w="120"/>
            </w:tcMar>
            <w:vAlign w:val="center"/>
          </w:tcPr>
          <w:p>
            <w:pPr>
              <w:jc w:val="left"/>
            </w:pPr>
            <w:r>
              <w:rPr>
                <w:b w:val="false"/>
                <w:bCs w:val="false"/>
                <w:sz w:val="20"/>
                <w:szCs w:val="20"/>
              </w:rPr>
              <w:t xml:space="preserve">Added once to the total connection budget.</w:t>
            </w:r>
          </w:p>
        </w:tc>
      </w:tr>
      <w:tr>
        <w:tc>
          <w:tcPr>
            <w:tcW w:type="dxa" w:w="1500"/>
            <w:shd w:fill="F7F7F7" w:val="clear"/>
            <w:tcMar>
              <w:top w:type="dxa" w:w="80"/>
              <w:left w:type="dxa" w:w="120"/>
              <w:bottom w:type="dxa" w:w="80"/>
              <w:right w:type="dxa" w:w="120"/>
            </w:tcMar>
            <w:vAlign w:val="center"/>
          </w:tcPr>
          <w:p>
            <w:pPr>
              <w:jc w:val="left"/>
            </w:pPr>
            <w:r>
              <w:rPr>
                <w:b w:val="false"/>
                <w:bCs w:val="false"/>
                <w:sz w:val="20"/>
                <w:szCs w:val="20"/>
              </w:rPr>
              <w:t xml:space="preserve">TRIGGERER_POOL</w:t>
            </w:r>
          </w:p>
        </w:tc>
        <w:tc>
          <w:tcPr>
            <w:tcW w:type="dxa" w:w="1000"/>
            <w:shd w:fill="F7F7F7" w:val="clear"/>
            <w:tcMar>
              <w:top w:type="dxa" w:w="80"/>
              <w:left w:type="dxa" w:w="120"/>
              <w:bottom w:type="dxa" w:w="80"/>
              <w:right w:type="dxa" w:w="120"/>
            </w:tcMar>
            <w:vAlign w:val="center"/>
          </w:tcPr>
          <w:p>
            <w:pPr>
              <w:jc w:val="center"/>
            </w:pPr>
            <w:r>
              <w:rPr>
                <w:b w:val="false"/>
                <w:bCs w:val="false"/>
                <w:sz w:val="20"/>
                <w:szCs w:val="20"/>
              </w:rPr>
              <w:t xml:space="preserve">4</w:t>
            </w:r>
          </w:p>
        </w:tc>
        <w:tc>
          <w:tcPr>
            <w:tcW w:type="dxa" w:w="3050"/>
            <w:shd w:fill="F7F7F7" w:val="clear"/>
            <w:tcMar>
              <w:top w:type="dxa" w:w="80"/>
              <w:left w:type="dxa" w:w="120"/>
              <w:bottom w:type="dxa" w:w="80"/>
              <w:right w:type="dxa" w:w="120"/>
            </w:tcMar>
            <w:vAlign w:val="center"/>
          </w:tcPr>
          <w:p>
            <w:pPr>
              <w:jc w:val="left"/>
            </w:pPr>
            <w:r>
              <w:rPr>
                <w:b w:val="false"/>
                <w:bCs w:val="false"/>
                <w:sz w:val="20"/>
                <w:szCs w:val="20"/>
              </w:rPr>
              <w:t xml:space="preserve">Postgres connections reserved for the triggerer. Single instance, low because BashOperator tasks are not deferrable.</w:t>
            </w:r>
          </w:p>
        </w:tc>
        <w:tc>
          <w:tcPr>
            <w:tcW w:type="dxa" w:w="3800"/>
            <w:shd w:fill="F7F7F7" w:val="clear"/>
            <w:tcMar>
              <w:top w:type="dxa" w:w="80"/>
              <w:left w:type="dxa" w:w="120"/>
              <w:bottom w:type="dxa" w:w="80"/>
              <w:right w:type="dxa" w:w="120"/>
            </w:tcMar>
            <w:vAlign w:val="center"/>
          </w:tcPr>
          <w:p>
            <w:pPr>
              <w:jc w:val="left"/>
            </w:pPr>
            <w:r>
              <w:rPr>
                <w:b w:val="false"/>
                <w:bCs w:val="false"/>
                <w:sz w:val="20"/>
                <w:szCs w:val="20"/>
              </w:rPr>
              <w:t xml:space="preserve">Added once to the total connection budget.</w:t>
            </w:r>
          </w:p>
        </w:tc>
      </w:tr>
      <w:tr>
        <w:tc>
          <w:tcPr>
            <w:tcW w:type="dxa" w:w="1500"/>
            <w:tcMar>
              <w:top w:type="dxa" w:w="80"/>
              <w:left w:type="dxa" w:w="120"/>
              <w:bottom w:type="dxa" w:w="80"/>
              <w:right w:type="dxa" w:w="120"/>
            </w:tcMar>
            <w:vAlign w:val="center"/>
          </w:tcPr>
          <w:p>
            <w:pPr>
              <w:jc w:val="left"/>
            </w:pPr>
            <w:r>
              <w:rPr>
                <w:b w:val="false"/>
                <w:bCs w:val="false"/>
                <w:sz w:val="20"/>
                <w:szCs w:val="20"/>
              </w:rPr>
              <w:t xml:space="preserve">CONN_MB</w:t>
            </w:r>
          </w:p>
        </w:tc>
        <w:tc>
          <w:tcPr>
            <w:tcW w:type="dxa" w:w="1000"/>
            <w:tcMar>
              <w:top w:type="dxa" w:w="80"/>
              <w:left w:type="dxa" w:w="120"/>
              <w:bottom w:type="dxa" w:w="80"/>
              <w:right w:type="dxa" w:w="120"/>
            </w:tcMar>
            <w:vAlign w:val="center"/>
          </w:tcPr>
          <w:p>
            <w:pPr>
              <w:jc w:val="center"/>
            </w:pPr>
            <w:r>
              <w:rPr>
                <w:b w:val="false"/>
                <w:bCs w:val="false"/>
                <w:sz w:val="20"/>
                <w:szCs w:val="20"/>
              </w:rPr>
              <w:t xml:space="preserve">8</w:t>
            </w:r>
          </w:p>
        </w:tc>
        <w:tc>
          <w:tcPr>
            <w:tcW w:type="dxa" w:w="3050"/>
            <w:tcMar>
              <w:top w:type="dxa" w:w="80"/>
              <w:left w:type="dxa" w:w="120"/>
              <w:bottom w:type="dxa" w:w="80"/>
              <w:right w:type="dxa" w:w="120"/>
            </w:tcMar>
            <w:vAlign w:val="center"/>
          </w:tcPr>
          <w:p>
            <w:pPr>
              <w:jc w:val="left"/>
            </w:pPr>
            <w:r>
              <w:rPr>
                <w:b w:val="false"/>
                <w:bCs w:val="false"/>
                <w:sz w:val="20"/>
                <w:szCs w:val="20"/>
              </w:rPr>
              <w:t xml:space="preserve">Planning heuristic: approximate memory (MB) Postgres reserves per open connection (idle-connection baseline).</w:t>
            </w:r>
          </w:p>
        </w:tc>
        <w:tc>
          <w:tcPr>
            <w:tcW w:type="dxa" w:w="3800"/>
            <w:tcMar>
              <w:top w:type="dxa" w:w="80"/>
              <w:left w:type="dxa" w:w="120"/>
              <w:bottom w:type="dxa" w:w="80"/>
              <w:right w:type="dxa" w:w="120"/>
            </w:tcMar>
            <w:vAlign w:val="center"/>
          </w:tcPr>
          <w:p>
            <w:pPr>
              <w:jc w:val="left"/>
            </w:pPr>
            <w:r>
              <w:rPr>
                <w:b w:val="false"/>
                <w:bCs w:val="false"/>
                <w:sz w:val="20"/>
                <w:szCs w:val="20"/>
              </w:rPr>
              <w:t xml:space="preserve">AirflowDB RAM ≈ (max_connections × CONN_MB + base overhead) ÷ 0.75 (backing out shared_buffers at ~25% of total).</w:t>
            </w:r>
          </w:p>
        </w:tc>
      </w:tr>
      <w:tr>
        <w:tc>
          <w:tcPr>
            <w:tcW w:type="dxa" w:w="1500"/>
            <w:shd w:fill="F7F7F7" w:val="clear"/>
            <w:tcMar>
              <w:top w:type="dxa" w:w="80"/>
              <w:left w:type="dxa" w:w="120"/>
              <w:bottom w:type="dxa" w:w="80"/>
              <w:right w:type="dxa" w:w="120"/>
            </w:tcMar>
            <w:vAlign w:val="center"/>
          </w:tcPr>
          <w:p>
            <w:pPr>
              <w:jc w:val="left"/>
            </w:pPr>
            <w:r>
              <w:rPr>
                <w:b w:val="false"/>
                <w:bCs w:val="false"/>
                <w:sz w:val="20"/>
                <w:szCs w:val="20"/>
              </w:rPr>
              <w:t xml:space="preserve">DB_BASE_OVERHEAD_MB</w:t>
            </w:r>
          </w:p>
        </w:tc>
        <w:tc>
          <w:tcPr>
            <w:tcW w:type="dxa" w:w="1000"/>
            <w:shd w:fill="F7F7F7" w:val="clear"/>
            <w:tcMar>
              <w:top w:type="dxa" w:w="80"/>
              <w:left w:type="dxa" w:w="120"/>
              <w:bottom w:type="dxa" w:w="80"/>
              <w:right w:type="dxa" w:w="120"/>
            </w:tcMar>
            <w:vAlign w:val="center"/>
          </w:tcPr>
          <w:p>
            <w:pPr>
              <w:jc w:val="center"/>
            </w:pPr>
            <w:r>
              <w:rPr>
                <w:b w:val="false"/>
                <w:bCs w:val="false"/>
                <w:sz w:val="20"/>
                <w:szCs w:val="20"/>
              </w:rPr>
              <w:t xml:space="preserve">200</w:t>
            </w:r>
          </w:p>
        </w:tc>
        <w:tc>
          <w:tcPr>
            <w:tcW w:type="dxa" w:w="3050"/>
            <w:shd w:fill="F7F7F7" w:val="clear"/>
            <w:tcMar>
              <w:top w:type="dxa" w:w="80"/>
              <w:left w:type="dxa" w:w="120"/>
              <w:bottom w:type="dxa" w:w="80"/>
              <w:right w:type="dxa" w:w="120"/>
            </w:tcMar>
            <w:vAlign w:val="center"/>
          </w:tcPr>
          <w:p>
            <w:pPr>
              <w:jc w:val="left"/>
            </w:pPr>
            <w:r>
              <w:rPr>
                <w:b w:val="false"/>
                <w:bCs w:val="false"/>
                <w:sz w:val="20"/>
                <w:szCs w:val="20"/>
              </w:rPr>
              <w:t xml:space="preserve">Flat allowance for Postgres's own baseline process/OS overhead, independent of connection count.</w:t>
            </w:r>
          </w:p>
        </w:tc>
        <w:tc>
          <w:tcPr>
            <w:tcW w:type="dxa" w:w="3800"/>
            <w:shd w:fill="F7F7F7" w:val="clear"/>
            <w:tcMar>
              <w:top w:type="dxa" w:w="80"/>
              <w:left w:type="dxa" w:w="120"/>
              <w:bottom w:type="dxa" w:w="80"/>
              <w:right w:type="dxa" w:w="120"/>
            </w:tcMar>
            <w:vAlign w:val="center"/>
          </w:tcPr>
          <w:p>
            <w:pPr>
              <w:jc w:val="left"/>
            </w:pPr>
            <w:r>
              <w:rPr>
                <w:b w:val="false"/>
                <w:bCs w:val="false"/>
                <w:sz w:val="20"/>
                <w:szCs w:val="20"/>
              </w:rPr>
              <w:t xml:space="preserve">Added once inside the AirflowDB RAM formula, before the shared_buffers back-out.</w:t>
            </w:r>
          </w:p>
        </w:tc>
      </w:tr>
      <w:tr>
        <w:tc>
          <w:tcPr>
            <w:tcW w:type="dxa" w:w="1500"/>
            <w:tcMar>
              <w:top w:type="dxa" w:w="80"/>
              <w:left w:type="dxa" w:w="120"/>
              <w:bottom w:type="dxa" w:w="80"/>
              <w:right w:type="dxa" w:w="120"/>
            </w:tcMar>
            <w:vAlign w:val="center"/>
          </w:tcPr>
          <w:p>
            <w:pPr>
              <w:jc w:val="left"/>
            </w:pPr>
            <w:r>
              <w:rPr>
                <w:b w:val="false"/>
                <w:bCs w:val="false"/>
                <w:sz w:val="20"/>
                <w:szCs w:val="20"/>
              </w:rPr>
              <w:t xml:space="preserve">MIN_DB_MB</w:t>
            </w:r>
          </w:p>
        </w:tc>
        <w:tc>
          <w:tcPr>
            <w:tcW w:type="dxa" w:w="1000"/>
            <w:tcMar>
              <w:top w:type="dxa" w:w="80"/>
              <w:left w:type="dxa" w:w="120"/>
              <w:bottom w:type="dxa" w:w="80"/>
              <w:right w:type="dxa" w:w="120"/>
            </w:tcMar>
            <w:vAlign w:val="center"/>
          </w:tcPr>
          <w:p>
            <w:pPr>
              <w:jc w:val="center"/>
            </w:pPr>
            <w:r>
              <w:rPr>
                <w:b w:val="false"/>
                <w:bCs w:val="false"/>
                <w:sz w:val="20"/>
                <w:szCs w:val="20"/>
              </w:rPr>
              <w:t xml:space="preserve">2048</w:t>
            </w:r>
          </w:p>
        </w:tc>
        <w:tc>
          <w:tcPr>
            <w:tcW w:type="dxa" w:w="3050"/>
            <w:tcMar>
              <w:top w:type="dxa" w:w="80"/>
              <w:left w:type="dxa" w:w="120"/>
              <w:bottom w:type="dxa" w:w="80"/>
              <w:right w:type="dxa" w:w="120"/>
            </w:tcMar>
            <w:vAlign w:val="center"/>
          </w:tcPr>
          <w:p>
            <w:pPr>
              <w:jc w:val="left"/>
            </w:pPr>
            <w:r>
              <w:rPr>
                <w:b w:val="false"/>
                <w:bCs w:val="false"/>
                <w:sz w:val="20"/>
                <w:szCs w:val="20"/>
              </w:rPr>
              <w:t xml:space="preserve">Floor under the computed AirflowDB RAM figure, so the formula never proposes an unrealistically small database container even at very low N.</w:t>
            </w:r>
          </w:p>
        </w:tc>
        <w:tc>
          <w:tcPr>
            <w:tcW w:type="dxa" w:w="3800"/>
            <w:tcMar>
              <w:top w:type="dxa" w:w="80"/>
              <w:left w:type="dxa" w:w="120"/>
              <w:bottom w:type="dxa" w:w="80"/>
              <w:right w:type="dxa" w:w="120"/>
            </w:tcMar>
            <w:vAlign w:val="center"/>
          </w:tcPr>
          <w:p>
            <w:pPr>
              <w:jc w:val="left"/>
            </w:pPr>
            <w:r>
              <w:rPr>
                <w:b w:val="false"/>
                <w:bCs w:val="false"/>
                <w:sz w:val="20"/>
                <w:szCs w:val="20"/>
              </w:rPr>
              <w:t xml:space="preserve">AirflowDB RAM = max(computed value, MIN_DB_MB), then rounded up to the nearest 512MB.</w:t>
            </w:r>
          </w:p>
        </w:tc>
      </w:tr>
      <w:tr>
        <w:tc>
          <w:tcPr>
            <w:tcW w:type="dxa" w:w="1500"/>
            <w:shd w:fill="F7F7F7" w:val="clear"/>
            <w:tcMar>
              <w:top w:type="dxa" w:w="80"/>
              <w:left w:type="dxa" w:w="120"/>
              <w:bottom w:type="dxa" w:w="80"/>
              <w:right w:type="dxa" w:w="120"/>
            </w:tcMar>
            <w:vAlign w:val="center"/>
          </w:tcPr>
          <w:p>
            <w:pPr>
              <w:jc w:val="left"/>
            </w:pPr>
            <w:r>
              <w:rPr>
                <w:b w:val="false"/>
                <w:bCs w:val="false"/>
                <w:sz w:val="20"/>
                <w:szCs w:val="20"/>
              </w:rPr>
              <w:t xml:space="preserve">WORKER_CONCURRENCY_ADVISORY</w:t>
            </w:r>
          </w:p>
        </w:tc>
        <w:tc>
          <w:tcPr>
            <w:tcW w:type="dxa" w:w="1000"/>
            <w:shd w:fill="F7F7F7" w:val="clear"/>
            <w:tcMar>
              <w:top w:type="dxa" w:w="80"/>
              <w:left w:type="dxa" w:w="120"/>
              <w:bottom w:type="dxa" w:w="80"/>
              <w:right w:type="dxa" w:w="120"/>
            </w:tcMar>
            <w:vAlign w:val="center"/>
          </w:tcPr>
          <w:p>
            <w:pPr>
              <w:jc w:val="center"/>
            </w:pPr>
            <w:r>
              <w:rPr>
                <w:b w:val="false"/>
                <w:bCs w:val="false"/>
                <w:sz w:val="20"/>
                <w:szCs w:val="20"/>
              </w:rPr>
              <w:t xml:space="preserve">32</w:t>
            </w:r>
          </w:p>
        </w:tc>
        <w:tc>
          <w:tcPr>
            <w:tcW w:type="dxa" w:w="3050"/>
            <w:shd w:fill="F7F7F7" w:val="clear"/>
            <w:tcMar>
              <w:top w:type="dxa" w:w="80"/>
              <w:left w:type="dxa" w:w="120"/>
              <w:bottom w:type="dxa" w:w="80"/>
              <w:right w:type="dxa" w:w="120"/>
            </w:tcMar>
            <w:vAlign w:val="center"/>
          </w:tcPr>
          <w:p>
            <w:pPr>
              <w:jc w:val="left"/>
            </w:pPr>
            <w:r>
              <w:rPr>
                <w:b w:val="false"/>
                <w:bCs w:val="false"/>
                <w:sz w:val="20"/>
                <w:szCs w:val="20"/>
              </w:rPr>
              <w:t xml:space="preserve">Informational threshold only — not a cap. If the solved worker_concurrency exceeds this, the script prints an advisory note rather than changing any output.</w:t>
            </w:r>
          </w:p>
        </w:tc>
        <w:tc>
          <w:tcPr>
            <w:tcW w:type="dxa" w:w="3800"/>
            <w:shd w:fill="F7F7F7" w:val="clear"/>
            <w:tcMar>
              <w:top w:type="dxa" w:w="80"/>
              <w:left w:type="dxa" w:w="120"/>
              <w:bottom w:type="dxa" w:w="80"/>
              <w:right w:type="dxa" w:w="120"/>
            </w:tcMar>
            <w:vAlign w:val="center"/>
          </w:tcPr>
          <w:p>
            <w:pPr>
              <w:jc w:val="left"/>
            </w:pPr>
            <w:r>
              <w:rPr>
                <w:b w:val="false"/>
                <w:bCs w:val="false"/>
                <w:sz w:val="20"/>
                <w:szCs w:val="20"/>
              </w:rPr>
              <w:t xml:space="preserve">Purely a warning trigger; does not feed into any sizing formula.</w:t>
            </w:r>
          </w:p>
        </w:tc>
      </w:tr>
    </w:tbl>
    <w:p>
      <w:pPr>
        <w:pStyle w:val="Heading1"/>
        <w:spacing w:after="160" w:before="320"/>
      </w:pPr>
      <w:r>
        <w:t xml:space="preserve">3. Detail on each constant</w:t>
      </w:r>
    </w:p>
    <w:p>
      <w:pPr>
        <w:pStyle w:val="Heading2"/>
        <w:spacing w:after="120" w:before="240"/>
      </w:pPr>
      <w:r>
        <w:t xml:space="preserve">F — fan-out factor (default 2)</w:t>
      </w:r>
    </w:p>
    <w:p>
      <w:pPr>
        <w:spacing w:after="160"/>
      </w:pPr>
      <w:r>
        <w:t xml:space="preserve">This is the single most consequential constant in the whole model, because it defines T = N × F, the peak number of tasks that could be executing at the same instant across the cluster. T then drives worker sizing, scheduler burst-absorption limits, and max_tis_per_query.</w:t>
      </w:r>
    </w:p>
    <w:p>
      <w:pPr>
        <w:spacing w:after="160"/>
      </w:pPr>
      <w:r>
        <w:t xml:space="preserve">F=1 means every DAG is a strict linear chain (task_1 → task_2 → task_3 …) — at any instant, each DAG occupies exactly one worker slot. F=2 assumes DAGs average roughly two tasks running in parallel at once (some branching). The sample DAG reviewed earlier in this project was purely linear (F=1 for that DAG specifically), but the guide was built for "full scale" DAGs which may branch — F=2 is a deliberately conservative middle estimate, not a measurement.</w:t>
      </w:r>
    </w:p>
    <w:p>
      <w:pPr>
        <w:spacing w:after="160"/>
      </w:pPr>
      <w:r>
        <w:t xml:space="preserve">How to recalibrate: once real full-scale DAGs exist, look at their task graphs and estimate the realistic peak width of simultaneous branches, averaged across your DAG population. If most DAGs are still close to linear with occasional 2-3-way branches, F=2 is reasonable. If DAGs commonly fan out to 5+ parallel branches, F should rise accordingly — and every downstream number (worker cores/RAM, parallelism, scheduler limits) will scale up with it.</w:t>
      </w:r>
    </w:p>
    <w:p>
      <w:pPr>
        <w:pStyle w:val="Heading2"/>
        <w:spacing w:after="120" w:before="240"/>
      </w:pPr>
      <w:r>
        <w:t xml:space="preserve">CORE_RAM_MB — RAM per core (default 1024)</w:t>
      </w:r>
    </w:p>
    <w:p>
      <w:pPr>
        <w:spacing w:after="160"/>
      </w:pPr>
      <w:r>
        <w:t xml:space="preserve">This ratio was not invented — it is read directly off the one resource mapping already validated in production: AirflowWorker at 2048MB : 2 cores = 1024MB/core. Using the same ratio for every other component (scheduler, dag-processor, api-server) keeps the whole proposal internally consistent rather than mixing ratios component to component.</w:t>
      </w:r>
    </w:p>
    <w:p>
      <w:pPr>
        <w:spacing w:after="160"/>
      </w:pPr>
      <w:r>
        <w:t xml:space="preserve">How to recalibrate: if actual memory profiling shows a different component needs a richer or leaner ratio (for example, the dag-processor consistently running near its memory ceiling despite CPU being free), it is reasonable to break that one component out with its own ratio rather than changing this constant globally.</w:t>
      </w:r>
    </w:p>
    <w:p>
      <w:pPr>
        <w:pStyle w:val="Heading2"/>
        <w:spacing w:after="120" w:before="240"/>
      </w:pPr>
      <w:r>
        <w:t xml:space="preserve">FILES_PER_PARSER — dag-processor burst-clearing heuristic (default 12)</w:t>
      </w:r>
    </w:p>
    <w:p>
      <w:pPr>
        <w:spacing w:after="160"/>
      </w:pPr>
      <w:r>
        <w:t xml:space="preserve">This estimates how many newly-arrived DAG files a single dag-processor parser subprocess can parse within the target discovery window, given these are simple, templated, machine-generated files (not hand-written DAGs with heavy imports). It directly sets parsing_processes = ceil(N ÷ FILES_PER_PARSER), with a floor of 2.</w:t>
      </w:r>
    </w:p>
    <w:p>
      <w:pPr>
        <w:spacing w:after="160"/>
      </w:pPr>
      <w:r>
        <w:t xml:space="preserve">This is the most explicitly "unmeasured" constant in the model — it was reasoned from file simplicity, not timed. How to recalibrate: run a real burst test (N users submitting near-simultaneously) and measure actual wall-clock time from file-write to DAG-schedulable. If that time consistently exceeds the target window, lower FILES_PER_PARSER (forces more parser processes per N); if there is consistent slack, it can be raised to avoid over-provisioning DAGProcessor cores.</w:t>
      </w:r>
    </w:p>
    <w:p>
      <w:pPr>
        <w:pStyle w:val="Heading2"/>
        <w:spacing w:after="120" w:before="240"/>
      </w:pPr>
      <w:r>
        <w:t xml:space="preserve">API_POOL_PER_WORKER / WORKER_POOL_PER_REPLICA — 5 each (pool_size=3 + max_overflow=2)</w:t>
      </w:r>
    </w:p>
    <w:p>
      <w:pPr>
        <w:spacing w:after="160"/>
      </w:pPr>
      <w:r>
        <w:t xml:space="preserve">These are deliberately smaller than the airflow.cfg template's own defaults (pool_size=5, max_overflow=10 → 15/instance). At N=25 with 7 worker replicas, the template defaults alone would already consume 105 connections from workers before counting anything else — tight pools were chosen specifically so per-replica components (api-server workers, celery workers) don't dominate the connection budget as replica counts grow with N.</w:t>
      </w:r>
    </w:p>
    <w:p>
      <w:pPr>
        <w:spacing w:after="160"/>
      </w:pPr>
      <w:r>
        <w:t xml:space="preserve">How to recalibrate: if a component is genuinely connection-starved under load (visible as connection-wait errors, not just high connection count), raise its specific pool modestly rather than reverting to the template's default 15 — a global revert would make the connection budget scale much faster than N.</w:t>
      </w:r>
    </w:p>
    <w:p>
      <w:pPr>
        <w:pStyle w:val="Heading2"/>
        <w:spacing w:after="120" w:before="240"/>
      </w:pPr>
      <w:r>
        <w:t xml:space="preserve">SCHEDULER_POOL / DAGPROCESSOR_POOL / TRIGGERER_POOL — 10 / 10 / 4</w:t>
      </w:r>
    </w:p>
    <w:p>
      <w:pPr>
        <w:spacing w:after="160"/>
      </w:pPr>
      <w:r>
        <w:t xml:space="preserve">These three are single-instance components — there is exactly one scheduler, one dag-processor, one triggerer regardless of N or NoOfWorkers — so their pools are added once to the connection total rather than multiplied by a replica count. Their values keep closer to the template's original pool sizing since they don't compound the way per-replica pools do. Triggerer is set lowest because BashOperator tasks are never deferred, so the triggerer is essentially idle for this workload.</w:t>
      </w:r>
    </w:p>
    <w:p>
      <w:pPr>
        <w:spacing w:after="160"/>
      </w:pPr>
      <w:r>
        <w:t xml:space="preserve">How to recalibrate: only relevant if a future workload introduces deferrable operators (sensors, async operators) that make the triggerer an active component — at that point TRIGGERER_POOL should rise and the triggerer's cores/RAM should be revisited too, since the current sizing (0.5 core / 512MB, unchanged by the script) assumes it stays idle.</w:t>
      </w:r>
    </w:p>
    <w:p>
      <w:pPr>
        <w:pStyle w:val="Heading2"/>
        <w:spacing w:after="120" w:before="240"/>
      </w:pPr>
      <w:r>
        <w:t xml:space="preserve">CONN_MB — memory per Postgres connection (default 8)</w:t>
      </w:r>
    </w:p>
    <w:p>
      <w:pPr>
        <w:spacing w:after="160"/>
      </w:pPr>
      <w:r>
        <w:t xml:space="preserve">A planning heuristic, not a Postgres-reported number: real memory usage per connection depends on work_mem, query complexity, and whether a connection is idle or active. 8MB/connection is a conservative mid-range estimate for idle-to-light-query connections. It is the basis for the whole AirflowDB RAM formula: (max_connections × CONN_MB + DB_BASE_OVERHEAD_MB) ÷ 0.75, where dividing by 0.75 backs out an assumed 25% shared_buffers allocation from the total container memory.</w:t>
      </w:r>
    </w:p>
    <w:p>
      <w:pPr>
        <w:spacing w:after="160"/>
      </w:pPr>
      <w:r>
        <w:t xml:space="preserve">How to recalibrate: after real load, check actual per-connection memory via Postgres's own stats (pg_stat_activity joined with process RSS, or a tool like pg_top). If work_mem is raised for heavier queries later, this constant should rise correspondingly, since active connections doing sorts/hashes can use meaningfully more than the idle baseline.</w:t>
      </w:r>
    </w:p>
    <w:p>
      <w:pPr>
        <w:pStyle w:val="Heading2"/>
        <w:spacing w:after="120" w:before="240"/>
      </w:pPr>
      <w:r>
        <w:t xml:space="preserve">DB_BASE_OVERHEAD_MB — flat Postgres overhead (default 200)</w:t>
      </w:r>
    </w:p>
    <w:p>
      <w:pPr>
        <w:spacing w:after="160"/>
      </w:pPr>
      <w:r>
        <w:t xml:space="preserve">A fixed allowance for Postgres's own baseline process and OS overhead that exists independent of how many client connections are open. Kept deliberately small and conservative; it is not meant to account for autovacuum, WAL, or replication overhead specifically.</w:t>
      </w:r>
    </w:p>
    <w:p>
      <w:pPr>
        <w:spacing w:after="160"/>
      </w:pPr>
      <w:r>
        <w:t xml:space="preserve">How to recalibrate: if this Postgres instance also runs autovacuum aggressively, replication, or other background load, this constant should be raised to reflect real baseline consumption, rather than expecting CONN_MB alone to cover it.</w:t>
      </w:r>
    </w:p>
    <w:p>
      <w:pPr>
        <w:pStyle w:val="Heading2"/>
        <w:spacing w:after="120" w:before="240"/>
      </w:pPr>
      <w:r>
        <w:t xml:space="preserve">MIN_DB_MB — floor on AirflowDB RAM (default 2048)</w:t>
      </w:r>
    </w:p>
    <w:p>
      <w:pPr>
        <w:spacing w:after="160"/>
      </w:pPr>
      <w:r>
        <w:t xml:space="preserve">Prevents the formula from proposing an unrealistically small database container at very low N (where the raw connection-based calculation might come out below what Postgres needs just to run comfortably). The computed value is rounded up to the nearest 512MB after this floor is applied.</w:t>
      </w:r>
    </w:p>
    <w:p>
      <w:pPr>
        <w:spacing w:after="160"/>
      </w:pPr>
      <w:r>
        <w:t xml:space="preserve">How to recalibrate: raise this if organizational policy sets a higher minimum production database tier regardless of computed load.</w:t>
      </w:r>
    </w:p>
    <w:p>
      <w:pPr>
        <w:pStyle w:val="Heading2"/>
        <w:spacing w:after="120" w:before="240"/>
      </w:pPr>
      <w:r>
        <w:t xml:space="preserve">WORKER_CONCURRENCY_ADVISORY — informational threshold (default 32)</w:t>
      </w:r>
    </w:p>
    <w:p>
      <w:pPr>
        <w:spacing w:after="160"/>
      </w:pPr>
      <w:r>
        <w:t xml:space="preserve">This is the one constant that does not feed into any sizing formula at all. It exists purely so the script can flag, in plain language, when a fixed NoOfWorkers has forced a very high per-worker concurrency (many simultaneous bash subprocesses on one container). Per your direction, the script never caps this — it reports it as an advisory and trusts that better hardware (larger cores/RAM, already reflected in the output) resolves it, rather than second-guessing the fixed NoOfWorkers input.</w:t>
      </w:r>
    </w:p>
    <w:p>
      <w:pPr>
        <w:spacing w:after="160"/>
      </w:pPr>
      <w:r>
        <w:t xml:space="preserve">How to recalibrate: raise or lower this purely to change how sensitive the advisory is — it has no effect on the actual proposed cores/RAM/parallelism figures.</w:t>
      </w:r>
    </w:p>
    <w:p>
      <w:pPr>
        <w:pStyle w:val="Heading1"/>
        <w:spacing w:after="160" w:before="320"/>
      </w:pPr>
      <w:r>
        <w:t xml:space="preserve">4. General principle for recalibration</w:t>
      </w:r>
    </w:p>
    <w:p>
      <w:pPr>
        <w:pStyle w:val="ListParagraph"/>
        <w:numPr>
          <w:ilvl w:val="0"/>
          <w:numId w:val="1"/>
        </w:numPr>
        <w:spacing w:after="100"/>
      </w:pPr>
      <w:r>
        <w:t xml:space="preserve">Every constant above is a stand-in for a number that a real load test or production measurement will eventually replace.</w:t>
      </w:r>
    </w:p>
    <w:p>
      <w:pPr>
        <w:pStyle w:val="ListParagraph"/>
        <w:numPr>
          <w:ilvl w:val="0"/>
          <w:numId w:val="1"/>
        </w:numPr>
        <w:spacing w:after="100"/>
      </w:pPr>
      <w:r>
        <w:t xml:space="preserve">Change constants one at a time where possible, and re-run the script for your target N afterward — several of these compound (F and FILES_PER_PARSER especially touch multiple downstream components at once).</w:t>
      </w:r>
    </w:p>
    <w:p>
      <w:pPr>
        <w:pStyle w:val="ListParagraph"/>
        <w:numPr>
          <w:ilvl w:val="0"/>
          <w:numId w:val="1"/>
        </w:numPr>
        <w:spacing w:after="100"/>
      </w:pPr>
      <w:r>
        <w:t xml:space="preserve">Keep a record of which constants have been measurement-corrected versus which are still the original planning heuristics, so future re-sizing at a different N knows which numbers to trust.</w:t>
      </w:r>
    </w:p>
    <w:p>
      <w:pPr>
        <w:pBdr>
          <w:bottom w:val="single" w:color="AAAAAA" w:sz="6" w:space="4"/>
        </w:pBdr>
        <w:spacing w:after="200"/>
      </w:pPr>
    </w:p>
    <w:p>
      <w:pPr>
        <w:spacing w:after="160"/>
      </w:pPr>
      <w:r>
        <w:rPr>
          <w:i/>
          <w:iCs/>
          <w:color w:val="777777"/>
          <w:sz w:val="18"/>
          <w:szCs w:val="18"/>
        </w:rPr>
        <w:t xml:space="preserve">Source: AirflowSizingGuide.sh, built on the load-driven sizing methodology in airflow-sizing-guide.md.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2026-08-19T08:22:05.323Z</dcterms:created>
  <dcterms:modified xsi:type="dcterms:W3CDTF">2026-08-19T08:22:05.344Z</dcterms:modified>
</cp:coreProperties>
</file>

<file path=docProps/custom.xml><?xml version="1.0" encoding="utf-8"?>
<Properties xmlns="http://schemas.openxmlformats.org/officeDocument/2006/custom-properties" xmlns:vt="http://schemas.openxmlformats.org/officeDocument/2006/docPropsVTypes"/>
</file>